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eFig. 1 </w:t>
      </w:r>
      <w:r>
        <w:rPr>
          <w:rFonts w:hint="eastAsia"/>
          <w:lang w:val="en-US" w:eastAsia="zh-CN"/>
        </w:rPr>
        <w:t>Sensitivity analysis for primary outcome (UCF between DF and TVF</w:t>
      </w:r>
      <w:bookmarkStart w:id="0" w:name="_GoBack"/>
      <w:bookmarkEnd w:id="0"/>
      <w:r>
        <w:rPr>
          <w:rFonts w:hint="eastAsia"/>
          <w:lang w:val="en-US" w:eastAsia="zh-CN"/>
        </w:rPr>
        <w:t>) in our meta-analysis</w:t>
      </w:r>
    </w:p>
    <w:p>
      <w:r>
        <w:drawing>
          <wp:inline distT="0" distB="0" distL="114300" distR="114300">
            <wp:extent cx="5884545" cy="3519805"/>
            <wp:effectExtent l="0" t="0" r="190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4545" cy="351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E0F14"/>
    <w:rsid w:val="797F5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2019-11-12T07:46:00Z</dcterms:created>
  <dc:creator>Administrator</dc:creator>
  <cp:lastModifiedBy>杨浩</cp:lastModifiedBy>
  <dcterms:modified xsi:type="dcterms:W3CDTF">2019-11-13T01:19:17Z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